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A532" w14:textId="5977C696" w:rsidR="00116F22" w:rsidRDefault="00116F22" w:rsidP="00116F22">
      <w:pPr>
        <w:jc w:val="center"/>
        <w:rPr>
          <w:sz w:val="32"/>
          <w:szCs w:val="32"/>
        </w:rPr>
      </w:pPr>
      <w:r w:rsidRPr="00116F22">
        <w:rPr>
          <w:sz w:val="32"/>
          <w:szCs w:val="32"/>
        </w:rPr>
        <w:t>Réorganisation du CyberRange</w:t>
      </w:r>
    </w:p>
    <w:p w14:paraId="3114CE81" w14:textId="77777777" w:rsidR="00116F22" w:rsidRPr="00116F22" w:rsidRDefault="00116F22" w:rsidP="00116F22">
      <w:pPr>
        <w:jc w:val="center"/>
        <w:rPr>
          <w:sz w:val="32"/>
          <w:szCs w:val="32"/>
        </w:rPr>
      </w:pPr>
    </w:p>
    <w:p w14:paraId="10B05E23" w14:textId="51334FBD" w:rsidR="00116F22" w:rsidRPr="00116F22" w:rsidRDefault="0014344D" w:rsidP="00116F22">
      <w:r>
        <w:t>Mise en place</w:t>
      </w:r>
      <w:r w:rsidR="00116F22" w:rsidRPr="00116F22">
        <w:t xml:space="preserve"> de</w:t>
      </w:r>
      <w:r>
        <w:t>s normes de</w:t>
      </w:r>
      <w:r w:rsidR="00116F22" w:rsidRPr="00116F22">
        <w:t xml:space="preserve"> </w:t>
      </w:r>
      <w:r>
        <w:t>classement et d’</w:t>
      </w:r>
      <w:r w:rsidR="00116F22" w:rsidRPr="00116F22">
        <w:t>organisation du CyberRange</w:t>
      </w:r>
      <w:r>
        <w:t xml:space="preserve"> via son interface graphique Hyneview afin de</w:t>
      </w:r>
      <w:r w:rsidR="00116F22" w:rsidRPr="00116F22">
        <w:t xml:space="preserve"> répondre aux problématiques </w:t>
      </w:r>
      <w:r w:rsidR="00704C10">
        <w:t xml:space="preserve">telles que </w:t>
      </w:r>
      <w:r w:rsidR="00116F22" w:rsidRPr="00116F22">
        <w:t xml:space="preserve">: </w:t>
      </w:r>
    </w:p>
    <w:p w14:paraId="591818A4" w14:textId="77777777" w:rsidR="00116F22" w:rsidRPr="00116F22" w:rsidRDefault="00116F22" w:rsidP="00704C10">
      <w:pPr>
        <w:ind w:firstLine="708"/>
      </w:pPr>
      <w:r w:rsidRPr="00116F22">
        <w:t xml:space="preserve">• Le manque de visibilité dans le catalogue d’entités du CyberRange </w:t>
      </w:r>
    </w:p>
    <w:p w14:paraId="0C7620B3" w14:textId="77777777" w:rsidR="00116F22" w:rsidRPr="00116F22" w:rsidRDefault="00116F22" w:rsidP="00704C10">
      <w:pPr>
        <w:ind w:firstLine="708"/>
      </w:pPr>
      <w:r w:rsidRPr="00116F22">
        <w:t xml:space="preserve">• Le manque de visibilité des topologies dans le catalogue du CyberRange </w:t>
      </w:r>
    </w:p>
    <w:p w14:paraId="2AD133B1" w14:textId="77777777" w:rsidR="00116F22" w:rsidRPr="00116F22" w:rsidRDefault="00116F22" w:rsidP="00704C10">
      <w:pPr>
        <w:ind w:firstLine="708"/>
      </w:pPr>
      <w:r w:rsidRPr="00116F22">
        <w:t xml:space="preserve">• Le problème d’arborescence pour les entités utilisées au sein des Topologies </w:t>
      </w:r>
    </w:p>
    <w:p w14:paraId="36B8DDC6" w14:textId="77777777" w:rsidR="00116F22" w:rsidRPr="00116F22" w:rsidRDefault="00116F22" w:rsidP="00704C10">
      <w:pPr>
        <w:ind w:firstLine="708"/>
      </w:pPr>
      <w:r w:rsidRPr="00116F22">
        <w:t xml:space="preserve">• Manque de suivi lors d’un « build » d’une topologie (rapport/brouillon technique) </w:t>
      </w:r>
    </w:p>
    <w:p w14:paraId="6D20D1EA" w14:textId="77777777" w:rsidR="00116F22" w:rsidRPr="00116F22" w:rsidRDefault="00116F22" w:rsidP="00704C10">
      <w:pPr>
        <w:ind w:firstLine="708"/>
      </w:pPr>
      <w:r w:rsidRPr="00116F22">
        <w:t xml:space="preserve">• Manque de documentation pour les topologies en état « run » </w:t>
      </w:r>
    </w:p>
    <w:p w14:paraId="1F21E7CF" w14:textId="77777777" w:rsidR="00116F22" w:rsidRPr="00116F22" w:rsidRDefault="00116F22" w:rsidP="00704C10">
      <w:pPr>
        <w:ind w:firstLine="708"/>
      </w:pPr>
      <w:r w:rsidRPr="00116F22">
        <w:t xml:space="preserve">• Collaboration et partage sur les documents utilisés dans pour le CyberRange </w:t>
      </w:r>
    </w:p>
    <w:p w14:paraId="72C6B5F4" w14:textId="77777777" w:rsidR="00116F22" w:rsidRPr="00116F22" w:rsidRDefault="00116F22" w:rsidP="00116F22"/>
    <w:p w14:paraId="4C3F55F7" w14:textId="77777777" w:rsidR="00116F22" w:rsidRPr="00116F22" w:rsidRDefault="00116F22" w:rsidP="00116F22">
      <w:r w:rsidRPr="00116F22">
        <w:t xml:space="preserve">Proposition d’une Arborescence : </w:t>
      </w:r>
    </w:p>
    <w:p w14:paraId="34D1B62E" w14:textId="77777777" w:rsidR="00116F22" w:rsidRPr="00116F22" w:rsidRDefault="00116F22" w:rsidP="00116F22">
      <w:r w:rsidRPr="00116F22">
        <w:t xml:space="preserve">La première chose dont nous avons besoin est de mettre en place une solution d’arborescence au sein du catalogue d’entités du CyberRange pour ranger correctement les entités et les topologies de manière vraiment compréhensible pour les développeurs et les enseignants. Nous avons réfléchi à l’arborescence suivante : </w:t>
      </w:r>
    </w:p>
    <w:p w14:paraId="6C46C731" w14:textId="77777777" w:rsidR="00116F22" w:rsidRPr="00116F22" w:rsidRDefault="00116F22" w:rsidP="00116F22">
      <w:r w:rsidRPr="00116F22">
        <w:t xml:space="preserve">Trois dossiers primaires à la racine du catalogue : </w:t>
      </w:r>
    </w:p>
    <w:p w14:paraId="7254A3C0" w14:textId="77777777" w:rsidR="00116F22" w:rsidRPr="00116F22" w:rsidRDefault="00116F22" w:rsidP="00704C10">
      <w:pPr>
        <w:ind w:firstLine="708"/>
      </w:pPr>
      <w:r w:rsidRPr="00116F22">
        <w:t xml:space="preserve">• Un dossier qui recueille l’ensemble des entités dites « stables » : Ce sont des entités qui ont été développées avec des applications et services précis dans le but d’être clonées et servir de base de référence lors de la construction d’une nouvelle topologie. (Aucune de ces entités ne doit être utilisée dans une topologie). </w:t>
      </w:r>
    </w:p>
    <w:p w14:paraId="341AEDD1" w14:textId="77777777" w:rsidR="00116F22" w:rsidRPr="00116F22" w:rsidRDefault="00116F22" w:rsidP="00704C10">
      <w:pPr>
        <w:ind w:firstLine="708"/>
      </w:pPr>
      <w:r w:rsidRPr="00116F22">
        <w:t xml:space="preserve">• Un dossier « Run » : Ce dossier regroupe les topologies utilisables pour réaliser les exercices/scénarios. </w:t>
      </w:r>
    </w:p>
    <w:p w14:paraId="26449E69" w14:textId="65973C81" w:rsidR="00116F22" w:rsidRPr="00116F22" w:rsidRDefault="00116F22" w:rsidP="00704C10">
      <w:pPr>
        <w:ind w:firstLine="708"/>
      </w:pPr>
      <w:r w:rsidRPr="00116F22">
        <w:t xml:space="preserve">• Un dossier « build » : Ce dossier regroupe les topologies et les entités qui sont en cours de développement. </w:t>
      </w:r>
      <w:r w:rsidR="00704C10">
        <w:br/>
      </w:r>
    </w:p>
    <w:p w14:paraId="317DED4C" w14:textId="4D0F64E0" w:rsidR="00116F22" w:rsidRPr="00116F22" w:rsidRDefault="00116F22" w:rsidP="00116F22">
      <w:r w:rsidRPr="00116F22">
        <w:t xml:space="preserve">Ces trois dossiers sont </w:t>
      </w:r>
      <w:r w:rsidR="00704C10">
        <w:t>numérot</w:t>
      </w:r>
      <w:r w:rsidRPr="00116F22">
        <w:t xml:space="preserve">és dans le but d’être rangés par ordre alphabétique au sein du catalogue : </w:t>
      </w:r>
      <w:r w:rsidR="003B7F67">
        <w:br/>
      </w:r>
      <w:r w:rsidR="003B7F67">
        <w:rPr>
          <w:noProof/>
        </w:rPr>
        <w:drawing>
          <wp:inline distT="0" distB="0" distL="0" distR="0" wp14:anchorId="629DCFB2" wp14:editId="46DCA54B">
            <wp:extent cx="2447925" cy="714375"/>
            <wp:effectExtent l="0" t="0" r="9525" b="9525"/>
            <wp:docPr id="235002274" name="Image 1" descr="Une image contenant texte, frui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02274" name="Image 1" descr="Une image contenant texte, fruit, capture d’écran, conception&#10;&#10;Le contenu généré par l’IA peut être incorrect."/>
                    <pic:cNvPicPr/>
                  </pic:nvPicPr>
                  <pic:blipFill>
                    <a:blip r:embed="rId5"/>
                    <a:stretch>
                      <a:fillRect/>
                    </a:stretch>
                  </pic:blipFill>
                  <pic:spPr>
                    <a:xfrm>
                      <a:off x="0" y="0"/>
                      <a:ext cx="2447925" cy="714375"/>
                    </a:xfrm>
                    <a:prstGeom prst="rect">
                      <a:avLst/>
                    </a:prstGeom>
                  </pic:spPr>
                </pic:pic>
              </a:graphicData>
            </a:graphic>
          </wp:inline>
        </w:drawing>
      </w:r>
    </w:p>
    <w:p w14:paraId="47055D91" w14:textId="77777777" w:rsidR="00116F22" w:rsidRPr="00116F22" w:rsidRDefault="00116F22" w:rsidP="00116F22">
      <w:r w:rsidRPr="00116F22">
        <w:t xml:space="preserve">Dans le dossier des entités, celles-ci suivront une convention de nommage dans le but d’être retrouvées plus simplement par les développeurs, nous verrons cela dans la seconde partie sur le nommage. </w:t>
      </w:r>
    </w:p>
    <w:p w14:paraId="33E35F2A" w14:textId="77777777" w:rsidR="00116F22" w:rsidRPr="00116F22" w:rsidRDefault="00116F22" w:rsidP="00116F22">
      <w:r w:rsidRPr="00116F22">
        <w:t xml:space="preserve">Dans le dossier « Run » et « Build » nous suivons la même arborescence suivante : </w:t>
      </w:r>
    </w:p>
    <w:p w14:paraId="34C69FC8" w14:textId="2FC5E9BE" w:rsidR="00116F22" w:rsidRPr="00116F22" w:rsidRDefault="00116F22" w:rsidP="00704C10">
      <w:pPr>
        <w:ind w:firstLine="708"/>
      </w:pPr>
      <w:r w:rsidRPr="00116F22">
        <w:lastRenderedPageBreak/>
        <w:t>• Des sous-dossiers par service</w:t>
      </w:r>
      <w:r w:rsidR="00C54ED1">
        <w:t> : RES (</w:t>
      </w:r>
      <w:r w:rsidRPr="00116F22">
        <w:t>Resistecc</w:t>
      </w:r>
      <w:r w:rsidR="00C54ED1">
        <w:t>)</w:t>
      </w:r>
      <w:r w:rsidRPr="00116F22">
        <w:t xml:space="preserve"> | </w:t>
      </w:r>
      <w:r w:rsidR="00C54ED1">
        <w:t>DUP (</w:t>
      </w:r>
      <w:r w:rsidRPr="00116F22">
        <w:t>DemUp</w:t>
      </w:r>
      <w:r w:rsidR="00C54ED1">
        <w:t>)</w:t>
      </w:r>
      <w:r w:rsidRPr="00116F22">
        <w:t xml:space="preserve"> | </w:t>
      </w:r>
      <w:r w:rsidR="00C54ED1">
        <w:t xml:space="preserve">FRU (FRUIT) </w:t>
      </w:r>
      <w:r w:rsidRPr="00116F22">
        <w:t xml:space="preserve">| </w:t>
      </w:r>
      <w:r w:rsidR="00C54ED1">
        <w:t>DIA (</w:t>
      </w:r>
      <w:r w:rsidRPr="00116F22">
        <w:t xml:space="preserve">Diateam) </w:t>
      </w:r>
      <w:r w:rsidR="00EC029E">
        <w:br/>
        <w:t xml:space="preserve">                      </w:t>
      </w:r>
      <w:r w:rsidRPr="00116F22">
        <w:t>o Des sous-dossiers par types d’exercices</w:t>
      </w:r>
      <w:r w:rsidR="00C54ED1">
        <w:t xml:space="preserve"> : </w:t>
      </w:r>
      <w:r w:rsidRPr="00116F22">
        <w:t>Réseau</w:t>
      </w:r>
      <w:r w:rsidR="00D3796F">
        <w:t>(</w:t>
      </w:r>
      <w:r w:rsidR="00D3796F">
        <w:t>R</w:t>
      </w:r>
      <w:r w:rsidR="00D3796F">
        <w:t>)</w:t>
      </w:r>
      <w:r w:rsidRPr="00116F22">
        <w:t xml:space="preserve"> | D</w:t>
      </w:r>
      <w:r w:rsidR="00C54ED1">
        <w:t>e</w:t>
      </w:r>
      <w:r w:rsidRPr="00116F22">
        <w:t>v</w:t>
      </w:r>
      <w:r w:rsidR="00C54ED1">
        <w:t>SecOps</w:t>
      </w:r>
      <w:r w:rsidR="00D3796F">
        <w:t>(</w:t>
      </w:r>
      <w:r w:rsidR="00D3796F">
        <w:t>X</w:t>
      </w:r>
      <w:r w:rsidR="00D3796F">
        <w:t>)</w:t>
      </w:r>
      <w:r w:rsidRPr="00116F22">
        <w:t xml:space="preserve"> | Pentest</w:t>
      </w:r>
      <w:r w:rsidR="00D3796F">
        <w:t>(</w:t>
      </w:r>
      <w:r w:rsidR="00D3796F">
        <w:t>H</w:t>
      </w:r>
      <w:r w:rsidR="00D3796F">
        <w:t>)</w:t>
      </w:r>
      <w:r w:rsidRPr="00116F22">
        <w:t xml:space="preserve"> | </w:t>
      </w:r>
      <w:r w:rsidR="00C54ED1">
        <w:t>Prog</w:t>
      </w:r>
      <w:r w:rsidR="00D3796F">
        <w:t>(</w:t>
      </w:r>
      <w:r w:rsidR="00D3796F">
        <w:t>P</w:t>
      </w:r>
      <w:r w:rsidR="00D3796F">
        <w:t>)</w:t>
      </w:r>
      <w:r w:rsidR="00C54ED1">
        <w:t xml:space="preserve"> | </w:t>
      </w:r>
      <w:r w:rsidR="00D3796F">
        <w:t>Pentest(</w:t>
      </w:r>
      <w:r w:rsidR="00D3796F">
        <w:t>H</w:t>
      </w:r>
      <w:r w:rsidR="00D3796F">
        <w:t>) | Forensic)</w:t>
      </w:r>
      <w:r w:rsidR="00174FE3">
        <w:t>(</w:t>
      </w:r>
      <w:r w:rsidR="00174FE3" w:rsidRPr="00174FE3">
        <w:t xml:space="preserve"> </w:t>
      </w:r>
      <w:r w:rsidR="00174FE3">
        <w:t>F</w:t>
      </w:r>
      <w:r w:rsidR="00174FE3">
        <w:t>)</w:t>
      </w:r>
      <w:r w:rsidR="00EC029E">
        <w:br/>
        <w:t xml:space="preserve">                       </w:t>
      </w:r>
      <w:r w:rsidR="00D3796F">
        <w:rPr>
          <w:noProof/>
        </w:rPr>
        <w:drawing>
          <wp:inline distT="0" distB="0" distL="0" distR="0" wp14:anchorId="1DC5AD83" wp14:editId="439E2C44">
            <wp:extent cx="4314286" cy="2447619"/>
            <wp:effectExtent l="0" t="0" r="0" b="0"/>
            <wp:docPr id="20690045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04534" name=""/>
                    <pic:cNvPicPr/>
                  </pic:nvPicPr>
                  <pic:blipFill>
                    <a:blip r:embed="rId6"/>
                    <a:stretch>
                      <a:fillRect/>
                    </a:stretch>
                  </pic:blipFill>
                  <pic:spPr>
                    <a:xfrm>
                      <a:off x="0" y="0"/>
                      <a:ext cx="4314286" cy="2447619"/>
                    </a:xfrm>
                    <a:prstGeom prst="rect">
                      <a:avLst/>
                    </a:prstGeom>
                  </pic:spPr>
                </pic:pic>
              </a:graphicData>
            </a:graphic>
          </wp:inline>
        </w:drawing>
      </w:r>
    </w:p>
    <w:p w14:paraId="42EC871C" w14:textId="77777777" w:rsidR="00116F22" w:rsidRPr="00116F22" w:rsidRDefault="00116F22" w:rsidP="00704C10"/>
    <w:p w14:paraId="2C083827" w14:textId="77777777" w:rsidR="00116F22" w:rsidRPr="00116F22" w:rsidRDefault="00116F22" w:rsidP="00116F22">
      <w:r w:rsidRPr="00116F22">
        <w:t xml:space="preserve">Par la suite, on retrouve le dossier de la topologie, avec son nom normalisé qui suit le principe d’arborescence pour pourvoir ranger plus facile les topologies. On ajoute aussi à cela, le nom de l’exercice, qui est séparé par un « _ ». Le nom a pour but de décrire l’exercice (comprendre ce qui est fait à travers la topologie). </w:t>
      </w:r>
    </w:p>
    <w:p w14:paraId="525EED89" w14:textId="77777777" w:rsidR="00116F22" w:rsidRPr="00116F22" w:rsidRDefault="00116F22" w:rsidP="00116F22">
      <w:r w:rsidRPr="00116F22">
        <w:t xml:space="preserve">A partir de là, une déclinaison s’opère dans « Run » et « Build » car « Build » a besoin d’un peu plus de détail sur qui est ce qui travaille sur l’exercice actuellement. On rajoutera donc à la fin du nom de l’exercice un « _ » suivi des initiales (prénom, nom) du développeur de l’exercice. </w:t>
      </w:r>
    </w:p>
    <w:p w14:paraId="1ECB718B" w14:textId="36FD8798" w:rsidR="00116F22" w:rsidRPr="00116F22" w:rsidRDefault="00116F22" w:rsidP="00116F22">
      <w:r w:rsidRPr="00116F22">
        <w:t xml:space="preserve">Exemple : </w:t>
      </w:r>
      <w:r w:rsidR="00D3796F">
        <w:br/>
        <w:t xml:space="preserve">                    </w:t>
      </w:r>
      <w:r w:rsidR="00174FE3">
        <w:rPr>
          <w:noProof/>
        </w:rPr>
        <w:drawing>
          <wp:inline distT="0" distB="0" distL="0" distR="0" wp14:anchorId="37479A9A" wp14:editId="7C024529">
            <wp:extent cx="3657143" cy="2342857"/>
            <wp:effectExtent l="0" t="0" r="635" b="635"/>
            <wp:docPr id="51229050"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9050" name="Image 1" descr="Une image contenant texte, capture d’écran, Police, nombre&#10;&#10;Le contenu généré par l’IA peut être incorrect."/>
                    <pic:cNvPicPr/>
                  </pic:nvPicPr>
                  <pic:blipFill>
                    <a:blip r:embed="rId7"/>
                    <a:stretch>
                      <a:fillRect/>
                    </a:stretch>
                  </pic:blipFill>
                  <pic:spPr>
                    <a:xfrm>
                      <a:off x="0" y="0"/>
                      <a:ext cx="3657143" cy="2342857"/>
                    </a:xfrm>
                    <a:prstGeom prst="rect">
                      <a:avLst/>
                    </a:prstGeom>
                  </pic:spPr>
                </pic:pic>
              </a:graphicData>
            </a:graphic>
          </wp:inline>
        </w:drawing>
      </w:r>
    </w:p>
    <w:p w14:paraId="7DCFB3FD" w14:textId="75AA7724" w:rsidR="00116F22" w:rsidRPr="00116F22" w:rsidRDefault="00116F22" w:rsidP="00116F22">
      <w:r w:rsidRPr="00116F22">
        <w:t xml:space="preserve">Voici le nom de deux topologies identiques. </w:t>
      </w:r>
      <w:r w:rsidR="0017701A">
        <w:t>L’u</w:t>
      </w:r>
      <w:r w:rsidRPr="00116F22">
        <w:t xml:space="preserve">ne est en </w:t>
      </w:r>
      <w:r w:rsidR="00704C10">
        <w:t xml:space="preserve">cours de </w:t>
      </w:r>
      <w:r w:rsidRPr="00116F22">
        <w:t>développement</w:t>
      </w:r>
      <w:r w:rsidR="0017701A">
        <w:t xml:space="preserve"> « Build »</w:t>
      </w:r>
      <w:r w:rsidRPr="00116F22">
        <w:t xml:space="preserve"> et l’autre se situe dans le dossier des topologies en </w:t>
      </w:r>
      <w:r w:rsidR="0017701A">
        <w:t>« </w:t>
      </w:r>
      <w:r w:rsidRPr="00116F22">
        <w:t>Run</w:t>
      </w:r>
      <w:r w:rsidR="0017701A">
        <w:t> »,</w:t>
      </w:r>
      <w:r w:rsidRPr="00116F22">
        <w:t xml:space="preserve"> </w:t>
      </w:r>
      <w:r w:rsidR="0017701A">
        <w:t xml:space="preserve">pour les </w:t>
      </w:r>
      <w:r w:rsidRPr="00116F22">
        <w:t>exercice</w:t>
      </w:r>
      <w:r w:rsidR="0017701A">
        <w:t>s</w:t>
      </w:r>
      <w:r w:rsidRPr="00116F22">
        <w:t xml:space="preserve"> fonctionnel</w:t>
      </w:r>
      <w:r w:rsidR="0017701A">
        <w:t>s</w:t>
      </w:r>
      <w:r w:rsidRPr="00116F22">
        <w:t xml:space="preserve">. </w:t>
      </w:r>
    </w:p>
    <w:p w14:paraId="2438F097" w14:textId="77777777" w:rsidR="00116F22" w:rsidRPr="00116F22" w:rsidRDefault="00116F22" w:rsidP="00116F22">
      <w:r w:rsidRPr="00116F22">
        <w:t xml:space="preserve">Proposition d’une convention de nommage pour les topologies : </w:t>
      </w:r>
    </w:p>
    <w:p w14:paraId="3772981D" w14:textId="4144C538" w:rsidR="00116F22" w:rsidRPr="00116F22" w:rsidRDefault="00116F22" w:rsidP="00116F22">
      <w:r w:rsidRPr="00116F22">
        <w:lastRenderedPageBreak/>
        <w:t xml:space="preserve">Après avoir, décidé d’une arborescence efficace, nous avons </w:t>
      </w:r>
      <w:r w:rsidR="0017701A">
        <w:t>défini</w:t>
      </w:r>
      <w:r w:rsidRPr="00116F22">
        <w:t xml:space="preserve"> une convention de nommage, lié avec l’arborescence pour plus de simplicité. Nous avons deux types de nommage à définir : </w:t>
      </w:r>
    </w:p>
    <w:p w14:paraId="42426069" w14:textId="77777777" w:rsidR="00116F22" w:rsidRPr="00116F22" w:rsidRDefault="00116F22" w:rsidP="0017701A">
      <w:pPr>
        <w:ind w:firstLine="708"/>
      </w:pPr>
      <w:r w:rsidRPr="00116F22">
        <w:t xml:space="preserve">• La norme de nommage des topologies </w:t>
      </w:r>
    </w:p>
    <w:p w14:paraId="077967C0" w14:textId="77777777" w:rsidR="00116F22" w:rsidRPr="00116F22" w:rsidRDefault="00116F22" w:rsidP="0017701A">
      <w:pPr>
        <w:ind w:firstLine="708"/>
      </w:pPr>
      <w:r w:rsidRPr="00116F22">
        <w:t xml:space="preserve">• La norme de nommage des entités </w:t>
      </w:r>
    </w:p>
    <w:p w14:paraId="578DEECA" w14:textId="77777777" w:rsidR="00116F22" w:rsidRPr="00116F22" w:rsidRDefault="00116F22" w:rsidP="00116F22"/>
    <w:p w14:paraId="7B0EA481" w14:textId="77777777" w:rsidR="00116F22" w:rsidRPr="00116F22" w:rsidRDefault="00116F22" w:rsidP="00116F22">
      <w:r w:rsidRPr="00116F22">
        <w:t xml:space="preserve">Pour la norme de nommage des topologies, nous avons décidé d’adopter la norme suivante : </w:t>
      </w:r>
    </w:p>
    <w:p w14:paraId="7BC9E2FE" w14:textId="77777777" w:rsidR="00116F22" w:rsidRPr="00116F22" w:rsidRDefault="00116F22" w:rsidP="00116F22">
      <w:r w:rsidRPr="00116F22">
        <w:t xml:space="preserve">[État][Service]-[Type][YY]_Nom_(Développeur) </w:t>
      </w:r>
    </w:p>
    <w:p w14:paraId="0B162D7A" w14:textId="77777777" w:rsidR="00116F22" w:rsidRPr="00116F22" w:rsidRDefault="00116F22" w:rsidP="00116F22">
      <w:r w:rsidRPr="00116F22">
        <w:rPr>
          <w:b/>
          <w:bCs/>
        </w:rPr>
        <w:t xml:space="preserve">État </w:t>
      </w:r>
      <w:r w:rsidRPr="00116F22">
        <w:t xml:space="preserve">: Correspond à deux états pour les topologies (Run et Build). Les topologies en Build sont les topologies en cours de développement. Les topologies en « Run », sont les topologies qui ont été vérifiées et testées, elles sont considérées comme jouables. L’état est attribué via un chiffre soit 1 (pour « Run », voir arborescence), soit 2 (pour « Build », voir arborescence), cela correspond à l’ordre alphabétique dans l’arborescence.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823"/>
        <w:gridCol w:w="3823"/>
      </w:tblGrid>
      <w:tr w:rsidR="00116F22" w:rsidRPr="00116F22" w14:paraId="0B8C5223" w14:textId="77777777">
        <w:tblPrEx>
          <w:tblCellMar>
            <w:top w:w="0" w:type="dxa"/>
            <w:bottom w:w="0" w:type="dxa"/>
          </w:tblCellMar>
        </w:tblPrEx>
        <w:trPr>
          <w:trHeight w:val="111"/>
        </w:trPr>
        <w:tc>
          <w:tcPr>
            <w:tcW w:w="3823" w:type="dxa"/>
            <w:tcBorders>
              <w:top w:val="none" w:sz="6" w:space="0" w:color="auto"/>
              <w:bottom w:val="none" w:sz="6" w:space="0" w:color="auto"/>
              <w:right w:val="none" w:sz="6" w:space="0" w:color="auto"/>
            </w:tcBorders>
          </w:tcPr>
          <w:p w14:paraId="6CDB56E4" w14:textId="77777777" w:rsidR="00116F22" w:rsidRPr="00116F22" w:rsidRDefault="00116F22" w:rsidP="00116F22">
            <w:r w:rsidRPr="00116F22">
              <w:rPr>
                <w:b/>
                <w:bCs/>
              </w:rPr>
              <w:t xml:space="preserve">Service : </w:t>
            </w:r>
            <w:r w:rsidRPr="00116F22">
              <w:t xml:space="preserve">Correspond aux différents services qui utilisent le CyberRange. Attribué sur 3 lettres on retrouve : </w:t>
            </w:r>
            <w:r w:rsidRPr="00116F22">
              <w:rPr>
                <w:b/>
                <w:bCs/>
              </w:rPr>
              <w:t xml:space="preserve">Service </w:t>
            </w:r>
          </w:p>
        </w:tc>
        <w:tc>
          <w:tcPr>
            <w:tcW w:w="3823" w:type="dxa"/>
            <w:tcBorders>
              <w:top w:val="none" w:sz="6" w:space="0" w:color="auto"/>
              <w:left w:val="none" w:sz="6" w:space="0" w:color="auto"/>
              <w:bottom w:val="none" w:sz="6" w:space="0" w:color="auto"/>
            </w:tcBorders>
          </w:tcPr>
          <w:p w14:paraId="35A16429" w14:textId="77777777" w:rsidR="00116F22" w:rsidRPr="00116F22" w:rsidRDefault="00116F22" w:rsidP="00116F22">
            <w:r w:rsidRPr="00116F22">
              <w:rPr>
                <w:b/>
                <w:bCs/>
              </w:rPr>
              <w:t xml:space="preserve">Acronyme (1 lettres) </w:t>
            </w:r>
          </w:p>
        </w:tc>
      </w:tr>
      <w:tr w:rsidR="00116F22" w:rsidRPr="00116F22" w14:paraId="171F37A7" w14:textId="77777777">
        <w:tblPrEx>
          <w:tblCellMar>
            <w:top w:w="0" w:type="dxa"/>
            <w:bottom w:w="0" w:type="dxa"/>
          </w:tblCellMar>
        </w:tblPrEx>
        <w:trPr>
          <w:trHeight w:val="240"/>
        </w:trPr>
        <w:tc>
          <w:tcPr>
            <w:tcW w:w="3823" w:type="dxa"/>
            <w:tcBorders>
              <w:top w:val="none" w:sz="6" w:space="0" w:color="auto"/>
              <w:bottom w:val="none" w:sz="6" w:space="0" w:color="auto"/>
              <w:right w:val="none" w:sz="6" w:space="0" w:color="auto"/>
            </w:tcBorders>
          </w:tcPr>
          <w:p w14:paraId="2137C901" w14:textId="77777777" w:rsidR="00116F22" w:rsidRPr="00116F22" w:rsidRDefault="00116F22" w:rsidP="00116F22">
            <w:r w:rsidRPr="00116F22">
              <w:t xml:space="preserve">Sciences des risques et de la donnée (si appartient à plusieurs services) </w:t>
            </w:r>
          </w:p>
        </w:tc>
        <w:tc>
          <w:tcPr>
            <w:tcW w:w="3823" w:type="dxa"/>
            <w:tcBorders>
              <w:top w:val="none" w:sz="6" w:space="0" w:color="auto"/>
              <w:left w:val="none" w:sz="6" w:space="0" w:color="auto"/>
              <w:bottom w:val="none" w:sz="6" w:space="0" w:color="auto"/>
            </w:tcBorders>
          </w:tcPr>
          <w:p w14:paraId="7426FF5B" w14:textId="77777777" w:rsidR="00116F22" w:rsidRPr="00116F22" w:rsidRDefault="00116F22" w:rsidP="00116F22">
            <w:r w:rsidRPr="00116F22">
              <w:t xml:space="preserve">SRD </w:t>
            </w:r>
          </w:p>
        </w:tc>
      </w:tr>
      <w:tr w:rsidR="00116F22" w:rsidRPr="00116F22" w14:paraId="42C5DB5F" w14:textId="77777777">
        <w:tblPrEx>
          <w:tblCellMar>
            <w:top w:w="0" w:type="dxa"/>
            <w:bottom w:w="0" w:type="dxa"/>
          </w:tblCellMar>
        </w:tblPrEx>
        <w:trPr>
          <w:trHeight w:val="111"/>
        </w:trPr>
        <w:tc>
          <w:tcPr>
            <w:tcW w:w="3823" w:type="dxa"/>
            <w:tcBorders>
              <w:top w:val="none" w:sz="6" w:space="0" w:color="auto"/>
              <w:bottom w:val="none" w:sz="6" w:space="0" w:color="auto"/>
              <w:right w:val="none" w:sz="6" w:space="0" w:color="auto"/>
            </w:tcBorders>
          </w:tcPr>
          <w:p w14:paraId="23A6C33B" w14:textId="77777777" w:rsidR="00116F22" w:rsidRPr="00116F22" w:rsidRDefault="00116F22" w:rsidP="00116F22">
            <w:r w:rsidRPr="00116F22">
              <w:t xml:space="preserve">Resistecc </w:t>
            </w:r>
          </w:p>
        </w:tc>
        <w:tc>
          <w:tcPr>
            <w:tcW w:w="3823" w:type="dxa"/>
            <w:tcBorders>
              <w:top w:val="none" w:sz="6" w:space="0" w:color="auto"/>
              <w:left w:val="none" w:sz="6" w:space="0" w:color="auto"/>
              <w:bottom w:val="none" w:sz="6" w:space="0" w:color="auto"/>
            </w:tcBorders>
          </w:tcPr>
          <w:p w14:paraId="4F9C85CD" w14:textId="77777777" w:rsidR="00116F22" w:rsidRPr="00116F22" w:rsidRDefault="00116F22" w:rsidP="00116F22">
            <w:r w:rsidRPr="00116F22">
              <w:t xml:space="preserve">RES </w:t>
            </w:r>
          </w:p>
        </w:tc>
      </w:tr>
      <w:tr w:rsidR="00116F22" w:rsidRPr="00116F22" w14:paraId="7AF7F6AB" w14:textId="77777777">
        <w:tblPrEx>
          <w:tblCellMar>
            <w:top w:w="0" w:type="dxa"/>
            <w:bottom w:w="0" w:type="dxa"/>
          </w:tblCellMar>
        </w:tblPrEx>
        <w:trPr>
          <w:trHeight w:val="111"/>
        </w:trPr>
        <w:tc>
          <w:tcPr>
            <w:tcW w:w="3823" w:type="dxa"/>
            <w:tcBorders>
              <w:top w:val="none" w:sz="6" w:space="0" w:color="auto"/>
              <w:bottom w:val="none" w:sz="6" w:space="0" w:color="auto"/>
              <w:right w:val="none" w:sz="6" w:space="0" w:color="auto"/>
            </w:tcBorders>
          </w:tcPr>
          <w:p w14:paraId="3B7D9372" w14:textId="77777777" w:rsidR="00116F22" w:rsidRPr="00116F22" w:rsidRDefault="00116F22" w:rsidP="00116F22">
            <w:r w:rsidRPr="00116F22">
              <w:t xml:space="preserve">DemUp </w:t>
            </w:r>
          </w:p>
        </w:tc>
        <w:tc>
          <w:tcPr>
            <w:tcW w:w="3823" w:type="dxa"/>
            <w:tcBorders>
              <w:top w:val="none" w:sz="6" w:space="0" w:color="auto"/>
              <w:left w:val="none" w:sz="6" w:space="0" w:color="auto"/>
              <w:bottom w:val="none" w:sz="6" w:space="0" w:color="auto"/>
            </w:tcBorders>
          </w:tcPr>
          <w:p w14:paraId="5B8E3E46" w14:textId="77777777" w:rsidR="00116F22" w:rsidRPr="00116F22" w:rsidRDefault="00116F22" w:rsidP="00116F22">
            <w:r w:rsidRPr="00116F22">
              <w:t xml:space="preserve">DUP </w:t>
            </w:r>
          </w:p>
        </w:tc>
      </w:tr>
      <w:tr w:rsidR="00116F22" w:rsidRPr="00116F22" w14:paraId="5BD28A8E" w14:textId="77777777">
        <w:tblPrEx>
          <w:tblCellMar>
            <w:top w:w="0" w:type="dxa"/>
            <w:bottom w:w="0" w:type="dxa"/>
          </w:tblCellMar>
        </w:tblPrEx>
        <w:trPr>
          <w:trHeight w:val="111"/>
        </w:trPr>
        <w:tc>
          <w:tcPr>
            <w:tcW w:w="3823" w:type="dxa"/>
            <w:tcBorders>
              <w:top w:val="none" w:sz="6" w:space="0" w:color="auto"/>
              <w:bottom w:val="none" w:sz="6" w:space="0" w:color="auto"/>
              <w:right w:val="none" w:sz="6" w:space="0" w:color="auto"/>
            </w:tcBorders>
          </w:tcPr>
          <w:p w14:paraId="15BEE5E6" w14:textId="77777777" w:rsidR="00116F22" w:rsidRPr="00116F22" w:rsidRDefault="00116F22" w:rsidP="00116F22">
            <w:r w:rsidRPr="00116F22">
              <w:t xml:space="preserve">Diateam </w:t>
            </w:r>
          </w:p>
        </w:tc>
        <w:tc>
          <w:tcPr>
            <w:tcW w:w="3823" w:type="dxa"/>
            <w:tcBorders>
              <w:top w:val="none" w:sz="6" w:space="0" w:color="auto"/>
              <w:left w:val="none" w:sz="6" w:space="0" w:color="auto"/>
              <w:bottom w:val="none" w:sz="6" w:space="0" w:color="auto"/>
            </w:tcBorders>
          </w:tcPr>
          <w:p w14:paraId="5786720F" w14:textId="77777777" w:rsidR="00116F22" w:rsidRPr="00116F22" w:rsidRDefault="00116F22" w:rsidP="00116F22">
            <w:r w:rsidRPr="00116F22">
              <w:t xml:space="preserve">DIA </w:t>
            </w:r>
          </w:p>
        </w:tc>
      </w:tr>
      <w:tr w:rsidR="00174FE3" w:rsidRPr="00116F22" w14:paraId="37885450" w14:textId="77777777">
        <w:tblPrEx>
          <w:tblCellMar>
            <w:top w:w="0" w:type="dxa"/>
            <w:bottom w:w="0" w:type="dxa"/>
          </w:tblCellMar>
        </w:tblPrEx>
        <w:trPr>
          <w:trHeight w:val="111"/>
        </w:trPr>
        <w:tc>
          <w:tcPr>
            <w:tcW w:w="3823" w:type="dxa"/>
            <w:tcBorders>
              <w:top w:val="none" w:sz="6" w:space="0" w:color="auto"/>
              <w:bottom w:val="none" w:sz="6" w:space="0" w:color="auto"/>
              <w:right w:val="none" w:sz="6" w:space="0" w:color="auto"/>
            </w:tcBorders>
          </w:tcPr>
          <w:p w14:paraId="4D89D4B5" w14:textId="79BB1C61" w:rsidR="00174FE3" w:rsidRPr="00116F22" w:rsidRDefault="00174FE3" w:rsidP="00116F22">
            <w:r>
              <w:t>Fruit</w:t>
            </w:r>
          </w:p>
        </w:tc>
        <w:tc>
          <w:tcPr>
            <w:tcW w:w="3823" w:type="dxa"/>
            <w:tcBorders>
              <w:top w:val="none" w:sz="6" w:space="0" w:color="auto"/>
              <w:left w:val="none" w:sz="6" w:space="0" w:color="auto"/>
              <w:bottom w:val="none" w:sz="6" w:space="0" w:color="auto"/>
            </w:tcBorders>
          </w:tcPr>
          <w:p w14:paraId="3BB20576" w14:textId="18DDDFC8" w:rsidR="00174FE3" w:rsidRPr="00116F22" w:rsidRDefault="00174FE3" w:rsidP="00116F22">
            <w:r>
              <w:t>FRU</w:t>
            </w:r>
          </w:p>
        </w:tc>
      </w:tr>
    </w:tbl>
    <w:p w14:paraId="0E5C0535" w14:textId="77777777" w:rsidR="005C089D" w:rsidRDefault="005C089D"/>
    <w:sectPr w:rsidR="005C0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E1E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21FC76"/>
    <w:multiLevelType w:val="hybridMultilevel"/>
    <w:tmpl w:val="FFFFFFFF"/>
    <w:lvl w:ilvl="0" w:tplc="FFFFFFFF">
      <w:start w:val="1"/>
      <w:numFmt w:val="bullet"/>
      <w:lvlText w:val="•"/>
      <w:lvlJc w:val="left"/>
    </w:lvl>
    <w:lvl w:ilvl="1" w:tplc="6F618ADF">
      <w:start w:val="1"/>
      <w:numFmt w:val="bullet"/>
      <w:lvlText w:val="•"/>
      <w:lvlJc w:val="left"/>
    </w:lvl>
    <w:lvl w:ilvl="2" w:tplc="FC70E40C">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3CB2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C0516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0733477">
    <w:abstractNumId w:val="3"/>
  </w:num>
  <w:num w:numId="2" w16cid:durableId="130637463">
    <w:abstractNumId w:val="0"/>
  </w:num>
  <w:num w:numId="3" w16cid:durableId="359862137">
    <w:abstractNumId w:val="1"/>
  </w:num>
  <w:num w:numId="4" w16cid:durableId="1394743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22"/>
    <w:rsid w:val="00116F22"/>
    <w:rsid w:val="0014344D"/>
    <w:rsid w:val="00174FE3"/>
    <w:rsid w:val="0017701A"/>
    <w:rsid w:val="001F70B9"/>
    <w:rsid w:val="002309E3"/>
    <w:rsid w:val="002C4CA8"/>
    <w:rsid w:val="003B7F67"/>
    <w:rsid w:val="003E0898"/>
    <w:rsid w:val="005C089D"/>
    <w:rsid w:val="00662F2E"/>
    <w:rsid w:val="00704C10"/>
    <w:rsid w:val="00845699"/>
    <w:rsid w:val="00AB0A9E"/>
    <w:rsid w:val="00BC1CCD"/>
    <w:rsid w:val="00C54ED1"/>
    <w:rsid w:val="00D3796F"/>
    <w:rsid w:val="00E96E6A"/>
    <w:rsid w:val="00EC02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1599"/>
  <w15:chartTrackingRefBased/>
  <w15:docId w15:val="{AAA3CBE0-6CA5-48EB-A894-F4835144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6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6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6F2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6F2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6F2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6F2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6F2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6F2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6F2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6F2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6F2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6F2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6F2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6F2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6F2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6F2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6F2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6F22"/>
    <w:rPr>
      <w:rFonts w:eastAsiaTheme="majorEastAsia" w:cstheme="majorBidi"/>
      <w:color w:val="272727" w:themeColor="text1" w:themeTint="D8"/>
    </w:rPr>
  </w:style>
  <w:style w:type="paragraph" w:styleId="Titre">
    <w:name w:val="Title"/>
    <w:basedOn w:val="Normal"/>
    <w:next w:val="Normal"/>
    <w:link w:val="TitreCar"/>
    <w:uiPriority w:val="10"/>
    <w:qFormat/>
    <w:rsid w:val="00116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6F2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6F2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6F2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6F22"/>
    <w:pPr>
      <w:spacing w:before="160"/>
      <w:jc w:val="center"/>
    </w:pPr>
    <w:rPr>
      <w:i/>
      <w:iCs/>
      <w:color w:val="404040" w:themeColor="text1" w:themeTint="BF"/>
    </w:rPr>
  </w:style>
  <w:style w:type="character" w:customStyle="1" w:styleId="CitationCar">
    <w:name w:val="Citation Car"/>
    <w:basedOn w:val="Policepardfaut"/>
    <w:link w:val="Citation"/>
    <w:uiPriority w:val="29"/>
    <w:rsid w:val="00116F22"/>
    <w:rPr>
      <w:i/>
      <w:iCs/>
      <w:color w:val="404040" w:themeColor="text1" w:themeTint="BF"/>
    </w:rPr>
  </w:style>
  <w:style w:type="paragraph" w:styleId="Paragraphedeliste">
    <w:name w:val="List Paragraph"/>
    <w:basedOn w:val="Normal"/>
    <w:uiPriority w:val="34"/>
    <w:qFormat/>
    <w:rsid w:val="00116F22"/>
    <w:pPr>
      <w:ind w:left="720"/>
      <w:contextualSpacing/>
    </w:pPr>
  </w:style>
  <w:style w:type="character" w:styleId="Accentuationintense">
    <w:name w:val="Intense Emphasis"/>
    <w:basedOn w:val="Policepardfaut"/>
    <w:uiPriority w:val="21"/>
    <w:qFormat/>
    <w:rsid w:val="00116F22"/>
    <w:rPr>
      <w:i/>
      <w:iCs/>
      <w:color w:val="0F4761" w:themeColor="accent1" w:themeShade="BF"/>
    </w:rPr>
  </w:style>
  <w:style w:type="paragraph" w:styleId="Citationintense">
    <w:name w:val="Intense Quote"/>
    <w:basedOn w:val="Normal"/>
    <w:next w:val="Normal"/>
    <w:link w:val="CitationintenseCar"/>
    <w:uiPriority w:val="30"/>
    <w:qFormat/>
    <w:rsid w:val="00116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6F22"/>
    <w:rPr>
      <w:i/>
      <w:iCs/>
      <w:color w:val="0F4761" w:themeColor="accent1" w:themeShade="BF"/>
    </w:rPr>
  </w:style>
  <w:style w:type="character" w:styleId="Rfrenceintense">
    <w:name w:val="Intense Reference"/>
    <w:basedOn w:val="Policepardfaut"/>
    <w:uiPriority w:val="32"/>
    <w:qFormat/>
    <w:rsid w:val="00116F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658</Words>
  <Characters>3622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de Poitiers</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ANDRE</dc:creator>
  <cp:keywords/>
  <dc:description/>
  <cp:lastModifiedBy>Neil ANDRE</cp:lastModifiedBy>
  <cp:revision>4</cp:revision>
  <dcterms:created xsi:type="dcterms:W3CDTF">2025-09-04T10:10:00Z</dcterms:created>
  <dcterms:modified xsi:type="dcterms:W3CDTF">2025-09-04T12:55:00Z</dcterms:modified>
</cp:coreProperties>
</file>